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265" w:rsidRDefault="00797FA1" w:rsidP="00357265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265" w:rsidRDefault="00357265" w:rsidP="0035726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357265" w:rsidRDefault="00357265" w:rsidP="0035726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357265" w:rsidRDefault="00357265" w:rsidP="0035726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357265" w:rsidRDefault="00357265" w:rsidP="0035726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357265" w:rsidRDefault="00357265" w:rsidP="0035726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357265" w:rsidRDefault="00357265" w:rsidP="0035726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357265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9C5F1B" w:rsidRPr="009C5F1B" w:rsidRDefault="009C5F1B" w:rsidP="009C5F1B">
      <w:pPr>
        <w:shd w:val="clear" w:color="auto" w:fill="FFFFFF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</w:pPr>
      <w:r w:rsidRPr="009C5F1B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  <w:t>Оновлено форму Декларації акцизного податку</w:t>
      </w:r>
    </w:p>
    <w:p w:rsidR="009C5F1B" w:rsidRPr="009C5F1B" w:rsidRDefault="009C5F1B" w:rsidP="009C5F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C5F1B" w:rsidRDefault="009C5F1B" w:rsidP="009C5F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C5F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Головне управління ДПС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Черкаській</w:t>
      </w:r>
      <w:r w:rsidRPr="009C5F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області інформує, що 22 липня 2022 року набрав чинності наказ Міністерства фінансів України «Про затвердження Змін до форми декларації акцизного податку і Порядку заповнення та подання декларації акцизного податку» від 31.05.2022 № 151, який вніс зміни до форми Декларації акцизного податку,  затвердженої наказом Міністерства фінансів України від 23.01.2015 №14 та порядку її заповнення.</w:t>
      </w:r>
    </w:p>
    <w:p w:rsidR="009C5F1B" w:rsidRDefault="009C5F1B" w:rsidP="009C5F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C5F1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Так,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9C5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Декларацію акцизного податку доповнено новою графою «212.1.17»</w:t>
      </w:r>
      <w:r w:rsidRPr="009C5F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рядок 05 Вид платника акцизного податку» загальної частини Декларації. У зазначеній графі відмітка  проставляється виробником та/або імпортером тютюнових виробів, тютюну та промислових замінників тютюну, рідин, що використовуються в електронних сигаретах, які здійснюють їх реалізацію для цілей оподаткування акцизним податком з реалізації суб՚єктами господарювання роздрібної торгівлі підакцизних товарів;</w:t>
      </w:r>
    </w:p>
    <w:p w:rsidR="009C5F1B" w:rsidRPr="009C5F1B" w:rsidRDefault="008F0870" w:rsidP="009C5F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у</w:t>
      </w:r>
      <w:r w:rsidR="009C5F1B" w:rsidRPr="009C5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новій редакції викладено</w:t>
      </w:r>
      <w:r w:rsidR="009C5F1B" w:rsidRPr="009C5F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розділи Д «Податкові зобов՚язання з реалізації суб՚єктами господарювання роздрібної торгівлі підакцизних товарів, а також виробниками та/або імпортерами тютюнових виробів, тютюну та промислових замінників тютюну, рідин, що використовуються в електронних сигаретах» (далі – Розділ Д) та Е «Податкові зобов՚язання з реалізації електричної енергії» Декларації, додаток 6 «Розрахунок суми акцизного податку з реалізації суб՚єктами господарювання роздрібної торгівлі підакцизних товарів» та додаток 7 «Розрахунок суми акцизного податку з реалізації електричної енергії» до Декларації;</w:t>
      </w:r>
    </w:p>
    <w:p w:rsidR="009C5F1B" w:rsidRPr="009C5F1B" w:rsidRDefault="008F0870" w:rsidP="009C5F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т</w:t>
      </w:r>
      <w:r w:rsidR="009C5F1B" w:rsidRPr="009C5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акож передбачено заповнення</w:t>
      </w:r>
      <w:r w:rsidR="009C5F1B" w:rsidRPr="009C5F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виробниками та імпортерами тютюнових виробів протягом 3-ох звітних місяців поспіль, що передують місяцю, в якому підвищуються ставки акцизного податку на тютюнові вироби, тютюн та промислові замінники тютюну </w:t>
      </w:r>
      <w:r w:rsidR="009C5F1B" w:rsidRPr="009C5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інформації щодо податкових зобов՚язань з обсягів реалізації та/або ввезення тютюнових виробів, тютюну та промислових замінників тютюну</w:t>
      </w:r>
      <w:r w:rsidR="009C5F1B" w:rsidRPr="009C5F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що перевищують 115 % середньомісячного обсягу реалізації або їх ввезення за попередні дев՚ять місяців, що передують 3-ом звітним місяцям поспіль, що передують місяцю, в якому підвищуються ставки акцизного податку у додатку 1 «Розрахунок суми акцизного податку з підакцизних товарів (продукції) (крім транспортних засобів), на які встановлено специфічні ставки акцизного податку (крім операцій, визначених підпунктами 213.1.9, 213.1.11, 213.1.12 пункту 213.1 статті 213 розділу VI Кодексу)» та додатку 2 «Розрахунок суми </w:t>
      </w:r>
      <w:r w:rsidR="009C5F1B" w:rsidRPr="009C5F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акцизного податку з тютюнових виробів, на які встановлено специфічні та адвалорні ставки акцизного податку одночасно» до Декларації.</w:t>
      </w:r>
    </w:p>
    <w:p w:rsidR="009C5F1B" w:rsidRPr="009C5F1B" w:rsidRDefault="009C5F1B" w:rsidP="009C5F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C5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Встановлено заповнення та подання</w:t>
      </w:r>
      <w:r w:rsidRPr="009C5F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СГ, які є платниками акцизного податку згідно з п.п. 212.1.17 п. 212.1 ст. 212 ПКУ Розділу Д Декларації та нового додатку 6 прим.1 «Розрахунок суми акцизного податку з реалізації суб՚єктами господарювання роздрібної торгівлі підакцизних товарів згідно із підпунктом 213.1.14 пункту 213.1 статті 213 розділу VI Кодексу (тютюнові вироби, тютюн та промислові замінники тютюну, рідини, що використовуються в електронних сигаретах)» до Декларації.</w:t>
      </w:r>
    </w:p>
    <w:p w:rsidR="009C5F1B" w:rsidRPr="009C5F1B" w:rsidRDefault="009C5F1B" w:rsidP="009C5F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C5F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Наказ № 151 опублікувано в Офіційному віснику України  № 56 від 22.07.2022.</w:t>
      </w:r>
    </w:p>
    <w:p w:rsidR="00A87574" w:rsidRPr="00A87574" w:rsidRDefault="00A87574" w:rsidP="00357265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57265" w:rsidRPr="00357265" w:rsidRDefault="00357265" w:rsidP="00357265">
      <w:pPr>
        <w:rPr>
          <w:rFonts w:ascii="Times New Roman" w:hAnsi="Times New Roman" w:cs="Times New Roman"/>
          <w:sz w:val="28"/>
          <w:szCs w:val="28"/>
        </w:rPr>
      </w:pPr>
      <w:r w:rsidRPr="0035726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інформацією загальнодоступного інформаційно-довідкового ресурсу.</w:t>
      </w:r>
    </w:p>
    <w:p w:rsidR="00357265" w:rsidRPr="00357265" w:rsidRDefault="00357265" w:rsidP="00357265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0870" w:rsidRDefault="008F0870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0870" w:rsidRDefault="008F0870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0870" w:rsidRDefault="008F0870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0870" w:rsidRDefault="008F0870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0870" w:rsidRDefault="008F0870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0870" w:rsidRDefault="008F0870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0870" w:rsidRDefault="008F0870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0870" w:rsidRDefault="008F0870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0870" w:rsidRPr="008F0870" w:rsidRDefault="008F0870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8F0870" w:rsidRDefault="00357265" w:rsidP="00357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265" w:rsidRPr="00EA716F" w:rsidRDefault="00357265" w:rsidP="0035726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357265" w:rsidRPr="00EA716F" w:rsidRDefault="00357265" w:rsidP="0035726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9E48AC" w:rsidRPr="00357265" w:rsidRDefault="009E48AC">
      <w:pPr>
        <w:rPr>
          <w:rFonts w:ascii="Times New Roman" w:hAnsi="Times New Roman" w:cs="Times New Roman"/>
          <w:sz w:val="28"/>
          <w:szCs w:val="28"/>
        </w:rPr>
      </w:pPr>
    </w:p>
    <w:sectPr w:rsidR="009E48AC" w:rsidRPr="00357265" w:rsidSect="00F61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F1B"/>
    <w:rsid w:val="00357265"/>
    <w:rsid w:val="00797FA1"/>
    <w:rsid w:val="008F0870"/>
    <w:rsid w:val="009C5F1B"/>
    <w:rsid w:val="009E48AC"/>
    <w:rsid w:val="00A87574"/>
    <w:rsid w:val="00F6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5F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5F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C5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9C5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5F1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C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5F1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357265"/>
  </w:style>
  <w:style w:type="character" w:styleId="a7">
    <w:name w:val="Hyperlink"/>
    <w:uiPriority w:val="99"/>
    <w:rsid w:val="003572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5F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5F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C5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9C5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5F1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C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5F1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357265"/>
  </w:style>
  <w:style w:type="character" w:styleId="a7">
    <w:name w:val="Hyperlink"/>
    <w:uiPriority w:val="99"/>
    <w:rsid w:val="003572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9170">
          <w:marLeft w:val="0"/>
          <w:marRight w:val="0"/>
          <w:marTop w:val="0"/>
          <w:marBottom w:val="900"/>
          <w:divBdr>
            <w:top w:val="none" w:sz="0" w:space="31" w:color="auto"/>
            <w:left w:val="none" w:sz="0" w:space="0" w:color="auto"/>
            <w:bottom w:val="single" w:sz="6" w:space="23" w:color="C2C5CB"/>
            <w:right w:val="none" w:sz="0" w:space="0" w:color="auto"/>
          </w:divBdr>
          <w:divsChild>
            <w:div w:id="979723441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96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242EC-F319-4396-AC3C-984E7A2BF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2250</Words>
  <Characters>1283</Characters>
  <Application>Microsoft Office Word</Application>
  <DocSecurity>4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2022-07-28T13:09:00Z</cp:lastPrinted>
  <dcterms:created xsi:type="dcterms:W3CDTF">2022-07-28T13:09:00Z</dcterms:created>
  <dcterms:modified xsi:type="dcterms:W3CDTF">2022-07-28T13:09:00Z</dcterms:modified>
</cp:coreProperties>
</file>